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773C8" w14:textId="77777777" w:rsidR="00845828" w:rsidRDefault="00000000">
      <w:pPr>
        <w:rPr>
          <w:rFonts w:ascii="Palatino Linotype" w:hAnsi="Palatino Linotype" w:cs="Palatino Linotype"/>
          <w:b/>
          <w:bCs/>
          <w:sz w:val="22"/>
          <w:szCs w:val="24"/>
        </w:rPr>
      </w:pPr>
      <w:r>
        <w:rPr>
          <w:rFonts w:ascii="Palatino Linotype" w:hAnsi="Palatino Linotype" w:cs="Palatino Linotype"/>
          <w:b/>
          <w:bCs/>
          <w:sz w:val="22"/>
          <w:szCs w:val="24"/>
        </w:rPr>
        <w:t>Supporting information</w:t>
      </w:r>
    </w:p>
    <w:p w14:paraId="577187A9" w14:textId="4E7E09D6" w:rsidR="00845828" w:rsidRDefault="00DA36CB">
      <w:pPr>
        <w:rPr>
          <w:rFonts w:ascii="Palatino Linotype" w:hAnsi="Palatino Linotype" w:cs="Palatino Linotype"/>
          <w:sz w:val="22"/>
          <w:szCs w:val="24"/>
        </w:rPr>
      </w:pPr>
      <w:r>
        <w:rPr>
          <w:rFonts w:ascii="Palatino Linotype" w:hAnsi="Palatino Linotype" w:cs="Palatino Linotype" w:hint="eastAsia"/>
          <w:b/>
          <w:bCs/>
          <w:sz w:val="22"/>
          <w:szCs w:val="24"/>
        </w:rPr>
        <w:t>Supplementary Fig.</w:t>
      </w:r>
      <w:r w:rsidR="00000000">
        <w:rPr>
          <w:rFonts w:ascii="Palatino Linotype" w:hAnsi="Palatino Linotype" w:cs="Palatino Linotype"/>
          <w:b/>
          <w:bCs/>
          <w:sz w:val="22"/>
          <w:szCs w:val="24"/>
        </w:rPr>
        <w:t xml:space="preserve"> 1. Partial statistical results comparing calcium influx in the control group, Ca</w:t>
      </w:r>
      <w:r w:rsidR="00000000">
        <w:rPr>
          <w:rFonts w:ascii="Palatino Linotype" w:hAnsi="Palatino Linotype" w:cs="Palatino Linotype"/>
          <w:b/>
          <w:bCs/>
          <w:sz w:val="22"/>
          <w:szCs w:val="24"/>
          <w:vertAlign w:val="superscript"/>
        </w:rPr>
        <w:t>2+</w:t>
      </w:r>
      <w:r w:rsidR="00000000">
        <w:rPr>
          <w:rFonts w:ascii="Palatino Linotype" w:hAnsi="Palatino Linotype" w:cs="Palatino Linotype"/>
          <w:b/>
          <w:bCs/>
          <w:sz w:val="22"/>
          <w:szCs w:val="24"/>
        </w:rPr>
        <w:t>-free group, and GsMTx4 pretreatment group at static and after Yoda1 treatments.</w:t>
      </w:r>
      <w:r w:rsidR="00000000">
        <w:rPr>
          <w:rFonts w:ascii="Palatino Linotype" w:hAnsi="Palatino Linotype" w:cs="Palatino Linotype"/>
          <w:sz w:val="22"/>
          <w:szCs w:val="24"/>
        </w:rPr>
        <w:t xml:space="preserve"> (A-C) Partial statistical results of relative fluorescence intensity at different time points at static conditions and after Yoda1 treatments in the three groups. (D-E) Partial statistical results of relative fluorescence intensity at different time points at static conditions and after Yoda1 treatments, longitudinally comparing the three groups. All values were presented as mean ± SD.</w:t>
      </w:r>
    </w:p>
    <w:p w14:paraId="396E4D97" w14:textId="0B19AECF" w:rsidR="00845828" w:rsidRDefault="00DA36CB">
      <w:pPr>
        <w:rPr>
          <w:rFonts w:ascii="Palatino Linotype" w:hAnsi="Palatino Linotype" w:cs="Palatino Linotype"/>
          <w:sz w:val="22"/>
          <w:szCs w:val="24"/>
        </w:rPr>
      </w:pPr>
      <w:r>
        <w:rPr>
          <w:rFonts w:ascii="Palatino Linotype" w:hAnsi="Palatino Linotype" w:cs="Palatino Linotype" w:hint="eastAsia"/>
          <w:b/>
          <w:bCs/>
          <w:sz w:val="22"/>
          <w:szCs w:val="24"/>
        </w:rPr>
        <w:t>Supplementary Fig.</w:t>
      </w:r>
      <w:r>
        <w:rPr>
          <w:rFonts w:ascii="Palatino Linotype" w:hAnsi="Palatino Linotype" w:cs="Palatino Linotype"/>
          <w:b/>
          <w:bCs/>
          <w:sz w:val="22"/>
          <w:szCs w:val="24"/>
        </w:rPr>
        <w:t xml:space="preserve"> </w:t>
      </w:r>
      <w:r w:rsidR="00000000">
        <w:rPr>
          <w:rFonts w:ascii="Palatino Linotype" w:hAnsi="Palatino Linotype" w:cs="Palatino Linotype"/>
          <w:b/>
          <w:bCs/>
          <w:sz w:val="22"/>
          <w:szCs w:val="24"/>
        </w:rPr>
        <w:t>2.</w:t>
      </w:r>
      <w:r w:rsidR="00000000">
        <w:rPr>
          <w:rFonts w:ascii="Palatino Linotype" w:hAnsi="Palatino Linotype" w:cs="Palatino Linotype"/>
          <w:b/>
          <w:bCs/>
          <w:color w:val="000000" w:themeColor="text1"/>
          <w:kern w:val="0"/>
          <w:sz w:val="22"/>
        </w:rPr>
        <w:t xml:space="preserve"> </w:t>
      </w:r>
      <w:r w:rsidR="00000000">
        <w:rPr>
          <w:rFonts w:ascii="Palatino Linotype" w:hAnsi="Palatino Linotype" w:cs="Palatino Linotype"/>
          <w:b/>
          <w:bCs/>
          <w:sz w:val="22"/>
          <w:szCs w:val="24"/>
        </w:rPr>
        <w:t>Partial statistical results of changes in Ca</w:t>
      </w:r>
      <w:r w:rsidR="00000000">
        <w:rPr>
          <w:rFonts w:ascii="Palatino Linotype" w:hAnsi="Palatino Linotype" w:cs="Palatino Linotype"/>
          <w:b/>
          <w:bCs/>
          <w:sz w:val="22"/>
          <w:szCs w:val="24"/>
          <w:vertAlign w:val="superscript"/>
        </w:rPr>
        <w:t>2+</w:t>
      </w:r>
      <w:r w:rsidR="00000000">
        <w:rPr>
          <w:rFonts w:ascii="Palatino Linotype" w:hAnsi="Palatino Linotype" w:cs="Palatino Linotype"/>
          <w:b/>
          <w:bCs/>
          <w:sz w:val="22"/>
          <w:szCs w:val="24"/>
        </w:rPr>
        <w:t xml:space="preserve"> influx induced by short-duration stretch stimulation at 0.25 and 1.0Hz frequencies:</w:t>
      </w:r>
      <w:r w:rsidR="00000000">
        <w:rPr>
          <w:rFonts w:ascii="Palatino Linotype" w:hAnsi="Palatino Linotype" w:cs="Palatino Linotype"/>
          <w:sz w:val="22"/>
          <w:szCs w:val="24"/>
        </w:rPr>
        <w:t xml:space="preserve"> (A) Partial statistical results of relative fluorescence intensity induced by short-duration (0/0.5/1/2/4 minutes) stretch stimulation at 0.25Hz. (B) Partial statistical results of relative fluorescence intensity induced by short-duration (0/0.5/1/2/4 minutes) stretch stimulation at 1.0Hz. All values were presented as mean ± SD. *: p &lt; 0.05.</w:t>
      </w:r>
    </w:p>
    <w:p w14:paraId="57A3629C" w14:textId="4A5A79A0" w:rsidR="00845828" w:rsidRDefault="00DA36CB">
      <w:pPr>
        <w:rPr>
          <w:rFonts w:ascii="Palatino Linotype" w:hAnsi="Palatino Linotype" w:cs="Palatino Linotype"/>
          <w:sz w:val="22"/>
          <w:szCs w:val="24"/>
        </w:rPr>
      </w:pPr>
      <w:r>
        <w:rPr>
          <w:rFonts w:ascii="Palatino Linotype" w:hAnsi="Palatino Linotype" w:cs="Palatino Linotype" w:hint="eastAsia"/>
          <w:b/>
          <w:bCs/>
          <w:sz w:val="22"/>
          <w:szCs w:val="24"/>
        </w:rPr>
        <w:t>Supplementary Fig.</w:t>
      </w:r>
      <w:r>
        <w:rPr>
          <w:rFonts w:ascii="Palatino Linotype" w:hAnsi="Palatino Linotype" w:cs="Palatino Linotype"/>
          <w:b/>
          <w:bCs/>
          <w:sz w:val="22"/>
          <w:szCs w:val="24"/>
        </w:rPr>
        <w:t xml:space="preserve"> </w:t>
      </w:r>
      <w:r w:rsidR="00000000">
        <w:rPr>
          <w:rFonts w:ascii="Palatino Linotype" w:hAnsi="Palatino Linotype" w:cs="Palatino Linotype"/>
          <w:b/>
          <w:bCs/>
          <w:sz w:val="22"/>
          <w:szCs w:val="24"/>
        </w:rPr>
        <w:t>3.</w:t>
      </w:r>
      <w:r w:rsidR="00000000">
        <w:rPr>
          <w:rFonts w:ascii="Palatino Linotype" w:hAnsi="Palatino Linotype" w:cs="Palatino Linotype"/>
          <w:b/>
          <w:bCs/>
          <w:color w:val="000000" w:themeColor="text1"/>
          <w:kern w:val="0"/>
          <w:sz w:val="22"/>
        </w:rPr>
        <w:t xml:space="preserve"> </w:t>
      </w:r>
      <w:r w:rsidR="00000000">
        <w:rPr>
          <w:rFonts w:ascii="Palatino Linotype" w:hAnsi="Palatino Linotype" w:cs="Palatino Linotype"/>
          <w:b/>
          <w:bCs/>
          <w:sz w:val="22"/>
          <w:szCs w:val="24"/>
        </w:rPr>
        <w:t>Partial statistical results of changes in Ca</w:t>
      </w:r>
      <w:r w:rsidR="00000000">
        <w:rPr>
          <w:rFonts w:ascii="Palatino Linotype" w:hAnsi="Palatino Linotype" w:cs="Palatino Linotype"/>
          <w:b/>
          <w:bCs/>
          <w:sz w:val="22"/>
          <w:szCs w:val="24"/>
          <w:vertAlign w:val="superscript"/>
        </w:rPr>
        <w:t>2+</w:t>
      </w:r>
      <w:r w:rsidR="00000000">
        <w:rPr>
          <w:rFonts w:ascii="Palatino Linotype" w:hAnsi="Palatino Linotype" w:cs="Palatino Linotype"/>
          <w:b/>
          <w:bCs/>
          <w:sz w:val="22"/>
          <w:szCs w:val="24"/>
        </w:rPr>
        <w:t xml:space="preserve"> influx under static conditions and after Yoda1 treatments in the NC and Sh-Piezo1 groups:</w:t>
      </w:r>
      <w:r w:rsidR="00000000">
        <w:rPr>
          <w:rFonts w:ascii="Palatino Linotype" w:hAnsi="Palatino Linotype" w:cs="Palatino Linotype"/>
          <w:sz w:val="22"/>
          <w:szCs w:val="24"/>
        </w:rPr>
        <w:t xml:space="preserve"> (A) Static. (B) Yoda1 stimulation. All values were presented as mean ± SD.</w:t>
      </w:r>
    </w:p>
    <w:p w14:paraId="320AE2D3" w14:textId="34D7D9A2" w:rsidR="00845828" w:rsidRDefault="00DA36CB">
      <w:pPr>
        <w:rPr>
          <w:rFonts w:ascii="Palatino Linotype" w:hAnsi="Palatino Linotype" w:cs="Palatino Linotype"/>
          <w:sz w:val="22"/>
          <w:szCs w:val="24"/>
        </w:rPr>
      </w:pPr>
      <w:r>
        <w:rPr>
          <w:rFonts w:ascii="Palatino Linotype" w:hAnsi="Palatino Linotype" w:cs="Palatino Linotype" w:hint="eastAsia"/>
          <w:b/>
          <w:bCs/>
          <w:sz w:val="22"/>
          <w:szCs w:val="24"/>
        </w:rPr>
        <w:t>Supplementary Fig.</w:t>
      </w:r>
      <w:r>
        <w:rPr>
          <w:rFonts w:ascii="Palatino Linotype" w:hAnsi="Palatino Linotype" w:cs="Palatino Linotype"/>
          <w:b/>
          <w:bCs/>
          <w:sz w:val="22"/>
          <w:szCs w:val="24"/>
        </w:rPr>
        <w:t xml:space="preserve"> </w:t>
      </w:r>
      <w:r w:rsidR="00000000">
        <w:rPr>
          <w:rFonts w:ascii="Palatino Linotype" w:hAnsi="Palatino Linotype" w:cs="Palatino Linotype"/>
          <w:b/>
          <w:bCs/>
          <w:sz w:val="22"/>
          <w:szCs w:val="24"/>
        </w:rPr>
        <w:t>4.</w:t>
      </w:r>
      <w:r w:rsidR="00000000">
        <w:rPr>
          <w:rFonts w:ascii="Palatino Linotype" w:hAnsi="Palatino Linotype" w:cs="Palatino Linotype"/>
          <w:b/>
          <w:bCs/>
          <w:color w:val="000000" w:themeColor="text1"/>
          <w:kern w:val="0"/>
          <w:sz w:val="22"/>
        </w:rPr>
        <w:t xml:space="preserve"> </w:t>
      </w:r>
      <w:r w:rsidR="00000000">
        <w:rPr>
          <w:rFonts w:ascii="Palatino Linotype" w:hAnsi="Palatino Linotype" w:cs="Palatino Linotype"/>
          <w:b/>
          <w:bCs/>
          <w:sz w:val="22"/>
          <w:szCs w:val="24"/>
        </w:rPr>
        <w:t xml:space="preserve">qPCR results of Piezo2, KCNK2, and TEME63A/B at different time points after short stretch stimulation (0.5Hz, 10%): </w:t>
      </w:r>
      <w:r w:rsidR="00000000">
        <w:rPr>
          <w:rFonts w:ascii="Palatino Linotype" w:hAnsi="Palatino Linotype" w:cs="Palatino Linotype"/>
          <w:sz w:val="22"/>
          <w:szCs w:val="24"/>
        </w:rPr>
        <w:t>(A) Piezo2 qPCR results at different time points after stretching for 2, 5, 10, and 15 minutes. (B) Comparison of Piezo2 qPCR results at the same time points after stretching for 2, 5, 10, and 15 minutes. (C) TRPV4 KCNK2 and TEME63A/B qPCR results at different time points after stretching for 2, 5, 10, and 15 minutes. (D) Comparison of TRPV4 KCNK2 and TEME63A/B qPCR results after stretching for 2, 5, 10, and 15 minutes at the same time points. n = 3, and the separate asterisks, relative to control group or 2-min group. All values were presented as mean ± SEM. *: p &lt; 0.05, **: p &lt; 0.01; ***: p &lt; 0.001.</w:t>
      </w:r>
    </w:p>
    <w:sectPr w:rsidR="00845828">
      <w:footerReference w:type="default" r:id="rId7"/>
      <w:type w:val="continuous"/>
      <w:pgSz w:w="11906" w:h="16838"/>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650315" w14:textId="77777777" w:rsidR="005027A2" w:rsidRDefault="005027A2">
      <w:r>
        <w:separator/>
      </w:r>
    </w:p>
  </w:endnote>
  <w:endnote w:type="continuationSeparator" w:id="0">
    <w:p w14:paraId="095D81A5" w14:textId="77777777" w:rsidR="005027A2" w:rsidRDefault="00502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A2CD3" w14:textId="77777777" w:rsidR="00845828" w:rsidRDefault="00000000">
    <w:pPr>
      <w:pStyle w:val="a3"/>
      <w:jc w:val="center"/>
    </w:pPr>
    <w:r>
      <w:rPr>
        <w:lang w:val="zh-CN"/>
      </w:rPr>
      <w:t xml:space="preserve"> </w:t>
    </w:r>
    <w:r>
      <w:fldChar w:fldCharType="begin"/>
    </w:r>
    <w:r>
      <w:instrText>PAGE  \* Arabic  \* MERGEFORMAT</w:instrText>
    </w:r>
    <w:r>
      <w:fldChar w:fldCharType="separate"/>
    </w:r>
    <w:r>
      <w:rPr>
        <w:lang w:val="zh-CN"/>
      </w:rPr>
      <w:t>2</w:t>
    </w:r>
    <w:r>
      <w:fldChar w:fldCharType="end"/>
    </w:r>
    <w:r>
      <w:rPr>
        <w:lang w:val="zh-CN"/>
      </w:rPr>
      <w:t xml:space="preserve"> / </w:t>
    </w:r>
    <w:fldSimple w:instr="NUMPAGES  \* Arabic  \* MERGEFORMAT">
      <w:r>
        <w:rPr>
          <w:lang w:val="zh-CN"/>
        </w:rPr>
        <w:t>2</w:t>
      </w:r>
    </w:fldSimple>
  </w:p>
  <w:p w14:paraId="6FE65D56" w14:textId="77777777" w:rsidR="00845828" w:rsidRDefault="0084582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719CA9" w14:textId="77777777" w:rsidR="005027A2" w:rsidRDefault="005027A2">
      <w:r>
        <w:separator/>
      </w:r>
    </w:p>
  </w:footnote>
  <w:footnote w:type="continuationSeparator" w:id="0">
    <w:p w14:paraId="24A2C8BD" w14:textId="77777777" w:rsidR="005027A2" w:rsidRDefault="005027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UxN2RhYzBkYjBhYWQyZjcxMzAyMDBjYTgxNThmZjIifQ=="/>
  </w:docVars>
  <w:rsids>
    <w:rsidRoot w:val="00494C46"/>
    <w:rsid w:val="0005378B"/>
    <w:rsid w:val="001576EA"/>
    <w:rsid w:val="001669DA"/>
    <w:rsid w:val="00447722"/>
    <w:rsid w:val="00487B25"/>
    <w:rsid w:val="00494C46"/>
    <w:rsid w:val="005027A2"/>
    <w:rsid w:val="00661992"/>
    <w:rsid w:val="00783A4A"/>
    <w:rsid w:val="00793DB5"/>
    <w:rsid w:val="00796C76"/>
    <w:rsid w:val="007F1C21"/>
    <w:rsid w:val="00845828"/>
    <w:rsid w:val="008F0E03"/>
    <w:rsid w:val="009A184B"/>
    <w:rsid w:val="00AA79DF"/>
    <w:rsid w:val="00AB3B8A"/>
    <w:rsid w:val="00DA36CB"/>
    <w:rsid w:val="00E45BB4"/>
    <w:rsid w:val="00E45EAD"/>
    <w:rsid w:val="00EE2704"/>
    <w:rsid w:val="00F5484B"/>
    <w:rsid w:val="2ADA0DDF"/>
    <w:rsid w:val="2B66378C"/>
    <w:rsid w:val="4A060614"/>
    <w:rsid w:val="52B906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D704F"/>
  <w15:docId w15:val="{F42AE73A-3B37-40D4-A52C-ECB55E105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tabs>
        <w:tab w:val="center" w:pos="4153"/>
        <w:tab w:val="right" w:pos="8306"/>
      </w:tabs>
      <w:snapToGrid w:val="0"/>
      <w:jc w:val="center"/>
    </w:pPr>
    <w:rPr>
      <w:sz w:val="18"/>
      <w:szCs w:val="18"/>
    </w:rPr>
  </w:style>
  <w:style w:type="character" w:styleId="a7">
    <w:name w:val="line number"/>
    <w:basedOn w:val="a0"/>
    <w:autoRedefine/>
    <w:uiPriority w:val="99"/>
    <w:semiHidden/>
    <w:unhideWhenUsed/>
    <w:qFormat/>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CA53A-2BC6-4714-A55F-850D8C427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1763</Characters>
  <Application>Microsoft Office Word</Application>
  <DocSecurity>0</DocSecurity>
  <Lines>14</Lines>
  <Paragraphs>4</Paragraphs>
  <ScaleCrop>false</ScaleCrop>
  <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 Wang</dc:creator>
  <cp:lastModifiedBy>Yvette</cp:lastModifiedBy>
  <cp:revision>21</cp:revision>
  <dcterms:created xsi:type="dcterms:W3CDTF">2023-11-08T17:41:00Z</dcterms:created>
  <dcterms:modified xsi:type="dcterms:W3CDTF">2024-05-09T01:17:00Z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FC934D7E7F524ACFB3C95FACCD7C68AA_12</vt:lpwstr>
  </property>
</Properties>
</file>